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14558" w:type="dxa"/>
        <w:tblCellMar>
          <w:left w:w="0" w:type="dxa"/>
          <w:right w:w="0" w:type="dxa"/>
        </w:tblCellMar>
        <w:tblLook w:val="00A0"/>
      </w:tblPr>
      <w:tblGrid>
        <w:gridCol w:w="4035"/>
        <w:gridCol w:w="6281"/>
        <w:gridCol w:w="2029"/>
        <w:gridCol w:w="2213"/>
      </w:tblGrid>
      <w:tr w:rsidR="00173B82" w:rsidRPr="00A80C1B" w:rsidTr="001E39F2">
        <w:tc>
          <w:tcPr>
            <w:tcW w:w="103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  <w:u w:val="single"/>
              </w:rPr>
              <w:t>Тарифные условия на транзитные грузы с 15.08.2025 – 31.12.2025</w:t>
            </w:r>
            <w:r w:rsidRPr="00A80C1B">
              <w:rPr>
                <w:rFonts w:ascii="Aptos Cyr" w:hAnsi="Aptos Cyr"/>
                <w:b/>
                <w:bCs/>
                <w:u w:val="single"/>
              </w:rPr>
              <w:br/>
              <w:t> </w:t>
            </w:r>
          </w:p>
        </w:tc>
      </w:tr>
      <w:tr w:rsidR="00173B82" w:rsidRPr="00A80C1B" w:rsidTr="001E39F2">
        <w:tc>
          <w:tcPr>
            <w:tcW w:w="2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Груз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Маршрут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Объем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Коэффициент</w:t>
            </w:r>
          </w:p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Зерновые ГНГ 1001-1008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 Этулия экс.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10000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0,80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экс.-Унгень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 – 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Вэлчинецэкс.-Джурджулешты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 – Унгень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 -Басарабяска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Жмыхи и Шрот</w:t>
            </w:r>
            <w:r w:rsidRPr="00A80C1B">
              <w:rPr>
                <w:rFonts w:ascii="Aptos Cyr" w:hAnsi="Aptos Cyr"/>
                <w:b/>
                <w:bCs/>
              </w:rPr>
              <w:br/>
              <w:t>( ГНГ 2304, 2306)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Окница – Этулия - Джурджулешты порт - Джурджулешты ЧФР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10 000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0, 80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 Этулия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 – Этулияэкс..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Вэлчинецэкс.-Джурджулешты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 – 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экс.-Унгень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Руда ГНГ 2601,7203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 Этулия экс.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30000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0, 80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экс.-Унгень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 – 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Вэлчинецэкс.-Джурджулешты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 –  Басарабяска 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Черные металлы и изделия из черных металлов ГНГ 72,73 (кроме 7203,7204 )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 Этулия экс.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10000 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0, 80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экс. – 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экс.-Басарабяска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ЧФР – 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экс.-Унгень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    Вэлчинец экс. – 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экс. – Унгень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 Басарабяска экс.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Перевозка грузов в цистернах</w:t>
            </w:r>
            <w:r w:rsidRPr="00A80C1B">
              <w:rPr>
                <w:rFonts w:ascii="Aptos Cyr" w:hAnsi="Aptos Cyr"/>
                <w:b/>
                <w:bCs/>
              </w:rPr>
              <w:br/>
              <w:t xml:space="preserve"> ГНГ 27090010, 27090090, 2712, 2713, 27149000, </w:t>
            </w:r>
            <w:r w:rsidRPr="00A80C1B">
              <w:rPr>
                <w:b/>
                <w:bCs/>
              </w:rPr>
              <w:t>2715,2721-2749, 340319, 340399, 3404, 381121, 381129,38170050,38241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экс. – Басарабяска экс.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10000 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0,75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ЧФР – 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экс.- 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ДжурджулештыЧФР  -Новосавицкая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экс.-Новосавицкая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Унгень экс - .- 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экс.-.- 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 Басарабяска экс.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 - Вэлчинец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 -   Вэлчинец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ЧФР -  Вэлчинец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Масло подсолнечное ГНГ 1512 ( в цистернах)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Унгень экс.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10000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0,75 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 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 Басарабяска экс.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b/>
                <w:bCs/>
              </w:rPr>
              <w:t> </w:t>
            </w:r>
          </w:p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Груженые крупнотоннажные универсальные и специализир. контейнера</w:t>
            </w:r>
          </w:p>
          <w:p w:rsidR="00173B82" w:rsidRPr="00A80C1B" w:rsidRDefault="00173B82" w:rsidP="001E39F2">
            <w:r w:rsidRPr="00A80C1B">
              <w:rPr>
                <w:b/>
                <w:bCs/>
              </w:rPr>
              <w:t> 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экс. - Новосавицкая экс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200  конт. приватные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0,74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  Джурджулешты ЧФР - 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экс.-Новосавицкая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Унгеньэкс.-  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экс. – 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экс. - Басарабяска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Порт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экс.-Басарабяска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Басарабяскаэкс.-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ЧФР - Басарабяска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Этулия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 Джурджулешты порт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Новосавицкаяэкс  Унгень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экс-Унгень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Унгень экс-Вэлчинец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– Прут/Фелчиу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Прут/ Фелчиу экс-Новосавицкая экс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Прут/ Фелчиу экс-Басарабяска  экс 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 Басарабяска экс-Прут/Фелчиу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26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  <w:b/>
                <w:bCs/>
              </w:rPr>
              <w:t>Порожние крупнотоннажные универсальные и специализир. Контейнера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 - Новосавицкая экс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200  конт. приватные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t>0,64</w:t>
            </w:r>
          </w:p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  Джурджулешты ЧФР - 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 - 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Унгень экс -  Новосавицкая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 –  Этулия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Этулия экс -   Басарабяска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 –  Джурджулешты порт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порт экс -  Басарабяска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Басарабяска экс – 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Джурджулешты ЧФР   –  Басарабяска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 Этулия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 Джурджулешты ЧФР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 Джурджулешты порт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- Унгень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Вэлчинец экс-Унгень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Унгень экс-Вэлчинец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Новосавицкая экс – Прут/Фелчиу экс.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Прут/ Фелчиу экс-Новосавицкая экс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Прут/ Фелчиу экс-Басарабяска  экс 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  <w:tr w:rsidR="00173B82" w:rsidRPr="00A80C1B" w:rsidTr="001E39F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>
            <w:r w:rsidRPr="00A80C1B">
              <w:rPr>
                <w:rFonts w:ascii="Aptos Cyr" w:hAnsi="Aptos Cyr"/>
              </w:rPr>
              <w:t> Басарабяска экс-Прут/Фелчиу экс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3B82" w:rsidRPr="00A80C1B" w:rsidRDefault="00173B82" w:rsidP="001E39F2"/>
        </w:tc>
      </w:tr>
    </w:tbl>
    <w:p w:rsidR="00173B82" w:rsidRPr="001E39F2" w:rsidRDefault="00173B82" w:rsidP="001E39F2">
      <w:r w:rsidRPr="001E39F2">
        <w:rPr>
          <w:b/>
          <w:bCs/>
        </w:rPr>
        <w:t>- </w:t>
      </w:r>
      <w:r w:rsidRPr="001E39F2">
        <w:rPr>
          <w:rFonts w:ascii="Aptos Cyr" w:hAnsi="Aptos Cyr"/>
        </w:rPr>
        <w:t>тарифные ставки на перевозку вагонов, контейнеров и грузов через погранпереход Новосавицкая (УЗ)- Кучурган (ЧФМ) и в обратном направлении на участках Новосавицкая (экс) – о.п. Хаджимус и Новосавицкая (экс)- Бендеры 2 применяются в соответствии с параграфом 3 статьи 39 Соглашения о международном железнодорожном сообщении (СМГС).</w:t>
      </w:r>
    </w:p>
    <w:p w:rsidR="00173B82" w:rsidRPr="001E39F2" w:rsidRDefault="00173B82" w:rsidP="001E39F2">
      <w:r w:rsidRPr="001E39F2">
        <w:rPr>
          <w:rFonts w:ascii="Aptos Cyr" w:hAnsi="Aptos Cyr"/>
          <w:b/>
          <w:bCs/>
        </w:rPr>
        <w:t>Правила применения:</w:t>
      </w:r>
    </w:p>
    <w:p w:rsidR="00173B82" w:rsidRPr="001E39F2" w:rsidRDefault="00173B82" w:rsidP="001E39F2">
      <w:r w:rsidRPr="001E39F2">
        <w:rPr>
          <w:b/>
          <w:bCs/>
        </w:rPr>
        <w:t>1.</w:t>
      </w:r>
      <w:r w:rsidRPr="001E39F2">
        <w:rPr>
          <w:rFonts w:ascii="Aptos Cyr" w:hAnsi="Aptos Cyr"/>
        </w:rPr>
        <w:t>  Для перерасчета транспортного налога по пониженным ставкам необходимо выполнение и реализация установленного объема грузовых перевозок за отчетный месяц.  </w:t>
      </w:r>
      <w:r w:rsidRPr="001E39F2">
        <w:rPr>
          <w:b/>
          <w:bCs/>
        </w:rPr>
        <w:t> </w:t>
      </w:r>
    </w:p>
    <w:p w:rsidR="00173B82" w:rsidRPr="001E39F2" w:rsidRDefault="00173B82" w:rsidP="001E39F2">
      <w:r w:rsidRPr="001E39F2">
        <w:rPr>
          <w:b/>
          <w:bCs/>
        </w:rPr>
        <w:t>2.</w:t>
      </w:r>
      <w:r w:rsidRPr="001E39F2">
        <w:rPr>
          <w:rFonts w:ascii="Aptos Cyr" w:hAnsi="Aptos Cyr"/>
        </w:rPr>
        <w:t> ЧФМ осуществляет предварительное зачисления на счет каждого отправителя суммы скидки за отчетный месяц не позднее шестого рабочего дня следующего месяца.</w:t>
      </w:r>
    </w:p>
    <w:p w:rsidR="00173B82" w:rsidRPr="001E39F2" w:rsidRDefault="00173B82" w:rsidP="001E39F2">
      <w:r w:rsidRPr="001E39F2">
        <w:rPr>
          <w:b/>
          <w:bCs/>
        </w:rPr>
        <w:t>3.</w:t>
      </w:r>
      <w:r w:rsidRPr="001E39F2">
        <w:rPr>
          <w:rFonts w:ascii="Aptos Cyr" w:hAnsi="Aptos Cyr"/>
        </w:rPr>
        <w:t> Окончательные расчеты платежей, скидок и налогов будут производиться после получения всех документов, по завершении процесса перевозки товара.</w:t>
      </w:r>
    </w:p>
    <w:p w:rsidR="00173B82" w:rsidRPr="001E39F2" w:rsidRDefault="00173B82" w:rsidP="001E39F2">
      <w:pPr>
        <w:rPr>
          <w:b/>
          <w:bCs/>
        </w:rPr>
      </w:pPr>
      <w:r w:rsidRPr="001E39F2">
        <w:rPr>
          <w:b/>
          <w:bCs/>
        </w:rPr>
        <w:t> </w:t>
      </w:r>
    </w:p>
    <w:p w:rsidR="00173B82" w:rsidRPr="001E39F2" w:rsidRDefault="00173B82" w:rsidP="001E39F2">
      <w:r w:rsidRPr="001E39F2">
        <w:rPr>
          <w:rFonts w:ascii="Aptos Cyr" w:hAnsi="Aptos Cyr"/>
          <w:b/>
          <w:bCs/>
        </w:rPr>
        <w:t>И.о Генерального директора</w:t>
      </w:r>
      <w:r w:rsidRPr="001E39F2">
        <w:t>             </w:t>
      </w:r>
      <w:r w:rsidRPr="001E39F2">
        <w:rPr>
          <w:rFonts w:ascii="Aptos Cyr" w:hAnsi="Aptos Cyr"/>
          <w:b/>
          <w:bCs/>
        </w:rPr>
        <w:t>КОТЕЛЬНИК С.А.</w:t>
      </w:r>
    </w:p>
    <w:p w:rsidR="00173B82" w:rsidRPr="00032F4F" w:rsidRDefault="00173B82"/>
    <w:sectPr w:rsidR="00173B82" w:rsidRPr="00032F4F" w:rsidSect="001B13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44F"/>
    <w:rsid w:val="00032F4F"/>
    <w:rsid w:val="00173B82"/>
    <w:rsid w:val="001B137A"/>
    <w:rsid w:val="001E39F2"/>
    <w:rsid w:val="005C48BD"/>
    <w:rsid w:val="006A360B"/>
    <w:rsid w:val="0084244F"/>
    <w:rsid w:val="008E1FFE"/>
    <w:rsid w:val="00997B84"/>
    <w:rsid w:val="00A80C1B"/>
    <w:rsid w:val="00B461B8"/>
    <w:rsid w:val="00CD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1FFE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44F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244F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244F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244F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244F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244F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244F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244F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244F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44F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244F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244F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4244F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244F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244F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244F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244F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244F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84244F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84244F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244F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244F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84244F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84244F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84244F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84244F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244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244F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84244F"/>
    <w:rPr>
      <w:rFonts w:cs="Times New Roman"/>
      <w:b/>
      <w:bCs/>
      <w:smallCaps/>
      <w:color w:val="0F4761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84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6</Pages>
  <Words>759</Words>
  <Characters>4328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Sema</cp:lastModifiedBy>
  <cp:revision>3</cp:revision>
  <dcterms:created xsi:type="dcterms:W3CDTF">2025-07-18T14:45:00Z</dcterms:created>
  <dcterms:modified xsi:type="dcterms:W3CDTF">2025-07-18T18:11:00Z</dcterms:modified>
</cp:coreProperties>
</file>